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265</w:t>
      </w:r>
    </w:p>
    <w:p>
      <w:r>
        <w:t>Bundesgericht (BGE), 1998-10-28, DE</w:t>
      </w:r>
    </w:p>
    <w:p>
      <w:r>
        <w:rPr>
          <w:b/>
        </w:rPr>
        <w:t xml:space="preserve">Quelle: </w:t>
      </w:r>
      <w:r>
        <w:t>https://mcp.opencaselaw.ch/entscheid/bge_126 II 265</w:t>
      </w:r>
    </w:p>
    <w:p>
      <w:r>
        <w:t>FR: ATF 126 II 265</w:t>
      </w:r>
    </w:p>
    <w:p>
      <w:r>
        <w:t>IT: DTF 126 II 265</w:t>
      </w:r>
    </w:p>
    <w:p>
      <w:pPr>
        <w:pStyle w:val="Heading2"/>
      </w:pPr>
      <w:r>
        <w:t>Regeste</w:t>
      </w:r>
    </w:p>
    <w:p>
      <w:r>
        <w:t>Regeste Art. 7 sowie Art. 8 Abs. 1 und 3 ANAG, Art. 14 Abs. 3 ANAV; Aufenthaltsbewilligung, Kantonswechsel. Grundsätzliche Zulässigkeit des Kantonswechsels im Falle einer vom schweizerischen Ehemann getrennten Ausländerin: Da der Bewilligungsanspruch (Art. 7 ANAG) nicht vom gemeinsamen Haushalt der Ehegatten abhängt, ist er auch nicht auf den Kanton beschränkt, in dem der schweizerische Ehegatte Wohnsitz hat (E. 2).</w:t>
      </w:r>
    </w:p>
    <w:p>
      <w:pPr>
        <w:pStyle w:val="Heading2"/>
      </w:pPr>
      <w:r>
        <w:t>Erwägungen</w:t>
      </w:r>
    </w:p>
    <w:p>
      <w:r>
        <w:rPr>
          <w:b/>
        </w:rPr>
        <w:t>E. 1</w:t>
      </w:r>
    </w:p>
    <w:p>
      <w:r>
        <w:t>b) Nach Art. 7 des Bundesgesetzes vom 26. März 1931 über Aufenthalt und Niederlassung der Ausländer (ANAG; SR 142.20)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122 II 289 E. 1b S. 292 mit Hinweisen).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BGE 122 II 289 E. 1d S. 294 mit Hinweisen). c) Im vorliegenden Fall lebt die Beschwerdeführerin von ihrem schweizerischen Ehemann getrennt. Die Ehe ist bisher aber nicht geschieden worden, so dass grundsätzlich ein Rechtsanspruch auf Bewilligungserteilung besteht. Die Beschwerdeführerin will nun allerdings nicht im Kanton Solothurn, wo die Ehegatten zusammen BGE 126 II 265 S. 267 wohnten, sondern unweit davon im Kanton Basel-Landschaft Wohnsitz begründen, weshalb sie diesen Kanton um Bewilligungserteilung ersucht hat. Der Regierungsrat wie auch das kantonale Verwaltungsgericht vertreten die Auffassung, es bestehe kein Rechtsanspruch auf Kantonswechsel; die Erteilung der Bewilligung stehe im freien Ermessen der Behörden. Das Bundesamt für Ausländerfragen hält dieser Auffassung entgegen, dass der Anspruch auf Bewilligungserteilung für die ganze Schweiz bestehe, und dass die Bewilligung - im Rahmen der materiellen Prüfung - dann verweigert werden könne, wenn ein Ausweisungsgrund bestehe, eine Scheinehe vorliege oder allenfalls ein Rechtsmissbrauchstatbestand gegeben sei.</w:t>
      </w:r>
    </w:p>
    <w:p>
      <w:r>
        <w:rPr>
          <w:b/>
        </w:rPr>
        <w:t>E. 2</w:t>
      </w:r>
    </w:p>
    <w:p>
      <w:r>
        <w:t>a) Die Aufenthalts- oder Niederlassungsbewilligung gilt nur für den Kanton, der sie ausgestellt hat. Will ein Ausländer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der Ausländer [ANAV; SR 142.201] ). Einen Anspruch auf Kantonswechsel verschafft die Niederlassungsbewilligung als solche nicht ( BGE 123 II 145 E. 2a S. 148 f.; BGE 116 Ib 1 E. 1c S. 4), umso weniger kann ein solcher Anspruch bei einer Aufenthaltsbewilligung bestehen. Ein Anspruch auf Kantonswechsel ergibt sich für Niedergelassene dann, wenn sie sich auf einen Staatsvertrag zwischen der Schweiz und ihrem Heimatstaat stützen können ( Art. 14 Abs. 4 ANAV ). Mit Thailand besteht aber weder ein solcher Vertrag, noch verfügt die Beschwerdeführerin über die Niederlassungsbewilligung. b) Ein Kantonswechsel bedarf mithin der Bewilligung. Damit aber ist noch nicht entschieden, ob die Bewilligungserteilung im freien Ermessen der Behörden liegt ( Art. 4 ANAG ) oder ob darauf ein Anspruch besteht. Dies hängt davon ab, wie die anspruchsbegründende Norm von Art. 7 ANAG zu verstehen ist. Wie schon ausgeführt, setzt Art. 7 ANAG nicht voraus, dass die Ehe intakt ist und gelebt wird. Das Bundesgericht hat die Entstehungsgeschichte dieser Norm in BGE 118 Ib 145 nachgezeichnet. Der Gesetzgeber wollte ein Zusammenleben der Ehegatten nicht zur Voraussetzung der Bewilligungserteilung machen. Das gilt nicht nur insofern, als Ehegatten mitunter bei intakter Ehe aus beruflichen oder anderen Gründen an verschiedenen Orten Wohnsitz begründen und keinen gemeinsamen Haushalt führen. Der Gesetzgeber hat vielmehr BGE 126 II 265 S. 268 bewusst gerade auch für den Fall, dass die Ehegatten wegen ehelicher Schwierigkeiten getrennt leben, den Rechtsanspruch auf Bewilligungserteilung aufrechterhalten wollen. Wenn aber die Aufenthaltsbewilligung nicht vom gemeinsamen Haushalt der Ehegatten abhängt, ist kein Grund dafür ersichtlich, den Bewilligungsanspruch auf denjenigen Kanton zu beschränken, in dem der schweizerische Ehegatte Wohnsitz hat. Dem Wortlaut des Gesetzes lässt sich eine solche Beschränkung nicht entnehmen. Aus dem Gesetzeszweck liesse sie sich dann ableiten, wenn das Zusammenleben Bewilligungsvoraussetzung wäre, was aber gerade nicht zutrifft. c) Nun hat das Bundesgericht freilich in Fällen, wo der schweizerische Ehegatte im Ausland Wohnsitz hatte, der ausländische Ehegatte aber eine Aufenthaltsbewilligung für die Schweiz verlangte, erklärt, eine solche Inanspruchnahme des Anwesenheitsrechts aus Art. 7 ANAG sei, besondere Umstände vorbehalten, rechtsmissbräuchlich (unveröffentlichte Urteile vom 8. April 1997 i.S. Ertas, vom 26. März 1998 i.S. Mayerova und vom 7. September 1998 i.S. Läuffer). Für das interkantonale Verhältnis hat das Bundesgericht in einem neueren Urteil (unveröffentlichtes Urteil vom 11. Mai 2000 i.S. Belaj) in einer allerdings nicht fallentscheidenden Erwägung auf diese Rechtsprechung Bezug genommen und ausgeführt, in der Regel sei in demjenigen Kanton die Bewilligung zu erteilen, in dem auch der schweizerische Ehepartner Wohnsitz habe; ausnahmsweise komme aber auch die Bewilligung in einem anderen Kanton in Frage, wenn dies aus beruflichen Gründen oder wegen (vorübergehender) Aufgabe des ehelichen Zusammenlebens gerechtfertigt sei. Die Aufenthaltsbewilligung wird in der Regel durch die Fremdenpolizei desjenigen Kantons erteilt, in dem auch der schweizerische Ehegatte wohnt, zumal die Ehegatten meistens zusammenleben wollen und der Zweck von Art. 7 ANAG (in erster Linie) darauf ausgerichtet ist, dies zu ermöglichen. Da aber die Erteilung einer Aufenthaltsbewilligung nicht vom ehelichen Zusammenleben abhängt, sondern vom Gesetzeszweck gerade auch dann gedeckt ist, wenn die Ehegatten aufgrund ehelicher Schwierigkeiten getrennt leben, gibt es keinen Grund, einen Kantonswechsel auszuschliessen, sofern die Voraussetzungen der Bewilligungserteilung im Übrigen erfüllt sind, namentlich nicht einer der in Art. 7 ANAG vorgesehenen Ausnahmetatbestände oder ein Verstoss gegen das Rechtsmissbrauchsverbot vorliegt. Dass das Bundesgericht entschieden hat, einem ausländischen Ehegatten die Bewilligung zu verweigern, BGE 126 II 265 S. 269 wenn der schweizerische Ehegatte im Ausland lebt, ist Ausfluss des Rechtsmissbrauchsverbots. Es ist augenfällig, dass in solchen Fällen regelmässig ein hinreichender Bezug zur Schweiz fehlt, was aber nicht schon zutrifft, wenn die Ehegatten lediglich in verschiedenen Kantonen Wohnsitz nehmen. d) Nach dem Gesagten hat die Beschwerdeführerin grundsätzlich Anspruch auf Bewilligungserteilung im Kanton Basel-Landschaft. Es ist materiell zu prüfen, ob ein Ausnahmetatbestand vorliegt. Rechtsmissbrauch liegt jedenfalls noch nicht darin, dass die Beschwerdeführerin ihren Wohnsitz in einen anderen Kanton verlegt hat als denjenigen, in welchem ihr Ehemann lebt, zumal die Gemeinden Münchenstein/BL und Dornach/SO nicht weit voneinander entfernt sind. Da allerdings die kantonalen Behörden von der Auffassung ausgingen, es bestehe kein Bewilligungsanspruch, rechtfertigt es sich, die Sache - entsprechend dem Antrag des Bundesamtes für Ausländerfragen - an das Verwaltungsgericht zurückzuweisen, damit dieses prüfen kann, ob allenfalls ein materieller Verweigerungsgrund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